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B56FFF" w14:textId="77777777" w:rsidR="005A49C2" w:rsidRDefault="005A49C2">
      <w:pPr>
        <w:jc w:val="center"/>
        <w:rPr>
          <w:b/>
          <w:sz w:val="44"/>
          <w:szCs w:val="44"/>
        </w:rPr>
      </w:pPr>
    </w:p>
    <w:p w14:paraId="38F8B6D6" w14:textId="77777777" w:rsidR="005A49C2" w:rsidRDefault="005A49C2">
      <w:pPr>
        <w:jc w:val="center"/>
        <w:rPr>
          <w:b/>
          <w:sz w:val="44"/>
          <w:szCs w:val="44"/>
        </w:rPr>
      </w:pPr>
    </w:p>
    <w:p w14:paraId="00000001" w14:textId="485D28F2" w:rsidR="0005315E" w:rsidRDefault="00000000">
      <w:pPr>
        <w:jc w:val="center"/>
        <w:rPr>
          <w:b/>
          <w:sz w:val="44"/>
          <w:szCs w:val="44"/>
        </w:rPr>
      </w:pPr>
      <w:r>
        <w:rPr>
          <w:b/>
          <w:sz w:val="44"/>
          <w:szCs w:val="44"/>
        </w:rPr>
        <w:t>CHARTE</w:t>
      </w:r>
    </w:p>
    <w:p w14:paraId="00000003" w14:textId="77777777" w:rsidR="0005315E" w:rsidRDefault="00000000">
      <w:pPr>
        <w:jc w:val="both"/>
        <w:rPr>
          <w:b/>
          <w:sz w:val="24"/>
          <w:szCs w:val="24"/>
        </w:rPr>
      </w:pPr>
      <w:r>
        <w:rPr>
          <w:b/>
          <w:sz w:val="24"/>
          <w:szCs w:val="24"/>
        </w:rPr>
        <w:t>ARTICLE 1</w:t>
      </w:r>
    </w:p>
    <w:p w14:paraId="00000004" w14:textId="77777777" w:rsidR="0005315E" w:rsidRDefault="0005315E">
      <w:pPr>
        <w:jc w:val="both"/>
        <w:rPr>
          <w:b/>
          <w:sz w:val="24"/>
          <w:szCs w:val="24"/>
        </w:rPr>
      </w:pPr>
    </w:p>
    <w:p w14:paraId="00000005" w14:textId="77777777" w:rsidR="0005315E" w:rsidRDefault="00000000">
      <w:pPr>
        <w:numPr>
          <w:ilvl w:val="0"/>
          <w:numId w:val="1"/>
        </w:numPr>
        <w:pBdr>
          <w:top w:val="nil"/>
          <w:left w:val="nil"/>
          <w:bottom w:val="nil"/>
          <w:right w:val="nil"/>
          <w:between w:val="nil"/>
        </w:pBdr>
        <w:jc w:val="both"/>
        <w:rPr>
          <w:b/>
          <w:color w:val="000000"/>
          <w:sz w:val="24"/>
          <w:szCs w:val="24"/>
        </w:rPr>
      </w:pPr>
      <w:r>
        <w:rPr>
          <w:b/>
          <w:color w:val="000000"/>
          <w:sz w:val="24"/>
          <w:szCs w:val="24"/>
        </w:rPr>
        <w:t xml:space="preserve">L’association des intégrateurs ou SIGTB, n’est, en aucun cas, destinée à réaliser des projets ou à aborder des sujets relatifs aux affaires en cours, ou à venir. Les rencontres organisées le sont dans le cadre du développement de notre activité, de la promotion de notre métier et de ses acteurs. Elle ne doit, sous aucun prétexte, entraver le bon fonctionnement des mécanismes de concurrence, et quelle que soit la nature des projets (maintenance, construction, </w:t>
      </w:r>
      <w:proofErr w:type="spellStart"/>
      <w:r>
        <w:rPr>
          <w:b/>
          <w:color w:val="000000"/>
          <w:sz w:val="24"/>
          <w:szCs w:val="24"/>
        </w:rPr>
        <w:t>retrofit</w:t>
      </w:r>
      <w:proofErr w:type="spellEnd"/>
      <w:r>
        <w:rPr>
          <w:b/>
          <w:color w:val="000000"/>
          <w:sz w:val="24"/>
          <w:szCs w:val="24"/>
        </w:rPr>
        <w:t xml:space="preserve"> d’installation…)</w:t>
      </w:r>
    </w:p>
    <w:p w14:paraId="00000006" w14:textId="77777777" w:rsidR="0005315E" w:rsidRDefault="0005315E">
      <w:pPr>
        <w:jc w:val="both"/>
        <w:rPr>
          <w:b/>
          <w:sz w:val="24"/>
          <w:szCs w:val="24"/>
        </w:rPr>
      </w:pPr>
    </w:p>
    <w:p w14:paraId="00000007" w14:textId="77777777" w:rsidR="0005315E" w:rsidRDefault="00000000">
      <w:pPr>
        <w:jc w:val="both"/>
        <w:rPr>
          <w:b/>
          <w:sz w:val="24"/>
          <w:szCs w:val="24"/>
        </w:rPr>
      </w:pPr>
      <w:r>
        <w:rPr>
          <w:b/>
          <w:sz w:val="24"/>
          <w:szCs w:val="24"/>
        </w:rPr>
        <w:t>ARTICLE 2</w:t>
      </w:r>
    </w:p>
    <w:p w14:paraId="00000008" w14:textId="77777777" w:rsidR="0005315E" w:rsidRDefault="00000000">
      <w:pPr>
        <w:numPr>
          <w:ilvl w:val="0"/>
          <w:numId w:val="1"/>
        </w:numPr>
        <w:pBdr>
          <w:top w:val="nil"/>
          <w:left w:val="nil"/>
          <w:bottom w:val="nil"/>
          <w:right w:val="nil"/>
          <w:between w:val="nil"/>
        </w:pBdr>
        <w:spacing w:after="0"/>
        <w:jc w:val="both"/>
        <w:rPr>
          <w:b/>
          <w:color w:val="000000"/>
          <w:sz w:val="24"/>
          <w:szCs w:val="24"/>
        </w:rPr>
      </w:pPr>
      <w:r>
        <w:rPr>
          <w:b/>
          <w:color w:val="000000"/>
          <w:sz w:val="24"/>
          <w:szCs w:val="24"/>
        </w:rPr>
        <w:t xml:space="preserve">Les critères d’admission définis par cette charte, visent à établir le profil type d’un intégrateur. La charte est le support de décision et d’arbitrage du bureau qui </w:t>
      </w:r>
      <w:r>
        <w:rPr>
          <w:b/>
          <w:sz w:val="24"/>
          <w:szCs w:val="24"/>
        </w:rPr>
        <w:t>statue</w:t>
      </w:r>
      <w:r>
        <w:rPr>
          <w:b/>
          <w:color w:val="000000"/>
          <w:sz w:val="24"/>
          <w:szCs w:val="24"/>
        </w:rPr>
        <w:t xml:space="preserve"> sur l’agrément d’un nouvel arrivant</w:t>
      </w:r>
    </w:p>
    <w:p w14:paraId="00000009" w14:textId="77777777" w:rsidR="0005315E" w:rsidRDefault="00000000">
      <w:pPr>
        <w:numPr>
          <w:ilvl w:val="0"/>
          <w:numId w:val="1"/>
        </w:numPr>
        <w:pBdr>
          <w:top w:val="nil"/>
          <w:left w:val="nil"/>
          <w:bottom w:val="nil"/>
          <w:right w:val="nil"/>
          <w:between w:val="nil"/>
        </w:pBdr>
        <w:spacing w:after="0"/>
        <w:jc w:val="both"/>
        <w:rPr>
          <w:b/>
          <w:color w:val="000000"/>
          <w:sz w:val="24"/>
          <w:szCs w:val="24"/>
        </w:rPr>
      </w:pPr>
      <w:r>
        <w:rPr>
          <w:b/>
          <w:color w:val="000000"/>
          <w:sz w:val="24"/>
          <w:szCs w:val="24"/>
        </w:rPr>
        <w:t>Les critères principaux sont les suivants :</w:t>
      </w:r>
    </w:p>
    <w:p w14:paraId="0000000A" w14:textId="77777777" w:rsidR="0005315E" w:rsidRDefault="00000000">
      <w:pPr>
        <w:numPr>
          <w:ilvl w:val="1"/>
          <w:numId w:val="1"/>
        </w:numPr>
        <w:pBdr>
          <w:top w:val="nil"/>
          <w:left w:val="nil"/>
          <w:bottom w:val="nil"/>
          <w:right w:val="nil"/>
          <w:between w:val="nil"/>
        </w:pBdr>
        <w:spacing w:after="0"/>
        <w:jc w:val="both"/>
        <w:rPr>
          <w:b/>
          <w:color w:val="000000"/>
          <w:sz w:val="24"/>
          <w:szCs w:val="24"/>
        </w:rPr>
      </w:pPr>
      <w:bookmarkStart w:id="0" w:name="_heading=h.gjdgxs" w:colFirst="0" w:colLast="0"/>
      <w:bookmarkEnd w:id="0"/>
      <w:r>
        <w:rPr>
          <w:b/>
          <w:color w:val="000000"/>
          <w:sz w:val="24"/>
          <w:szCs w:val="24"/>
        </w:rPr>
        <w:t>Un intégrateur est une société dont l’existence même dépend directement du métier de la GTB-GTC</w:t>
      </w:r>
    </w:p>
    <w:p w14:paraId="0000000B" w14:textId="77777777" w:rsidR="0005315E" w:rsidRDefault="00000000">
      <w:pPr>
        <w:numPr>
          <w:ilvl w:val="1"/>
          <w:numId w:val="1"/>
        </w:numPr>
        <w:pBdr>
          <w:top w:val="nil"/>
          <w:left w:val="nil"/>
          <w:bottom w:val="nil"/>
          <w:right w:val="nil"/>
          <w:between w:val="nil"/>
        </w:pBdr>
        <w:spacing w:after="0"/>
        <w:jc w:val="both"/>
        <w:rPr>
          <w:b/>
          <w:color w:val="000000"/>
          <w:sz w:val="24"/>
          <w:szCs w:val="24"/>
        </w:rPr>
      </w:pPr>
      <w:r>
        <w:rPr>
          <w:b/>
          <w:color w:val="000000"/>
          <w:sz w:val="24"/>
          <w:szCs w:val="24"/>
        </w:rPr>
        <w:t xml:space="preserve">Il est indépendant des </w:t>
      </w:r>
      <w:r>
        <w:rPr>
          <w:b/>
          <w:sz w:val="24"/>
          <w:szCs w:val="24"/>
        </w:rPr>
        <w:t>fabricants</w:t>
      </w:r>
      <w:r>
        <w:rPr>
          <w:b/>
          <w:color w:val="000000"/>
          <w:sz w:val="24"/>
          <w:szCs w:val="24"/>
        </w:rPr>
        <w:t xml:space="preserve"> des matériels dont il assure la mise en œuvre. Cette indépendance prend 2 formes possibles</w:t>
      </w:r>
    </w:p>
    <w:p w14:paraId="0000000C" w14:textId="77777777" w:rsidR="0005315E" w:rsidRDefault="00000000">
      <w:pPr>
        <w:numPr>
          <w:ilvl w:val="2"/>
          <w:numId w:val="1"/>
        </w:numPr>
        <w:pBdr>
          <w:top w:val="nil"/>
          <w:left w:val="nil"/>
          <w:bottom w:val="nil"/>
          <w:right w:val="nil"/>
          <w:between w:val="nil"/>
        </w:pBdr>
        <w:spacing w:after="0"/>
        <w:jc w:val="both"/>
        <w:rPr>
          <w:b/>
          <w:color w:val="000000"/>
          <w:sz w:val="24"/>
          <w:szCs w:val="24"/>
        </w:rPr>
      </w:pPr>
      <w:r>
        <w:rPr>
          <w:b/>
          <w:color w:val="000000"/>
          <w:sz w:val="24"/>
          <w:szCs w:val="24"/>
        </w:rPr>
        <w:t xml:space="preserve">Il est formé sur les outils du ou des </w:t>
      </w:r>
      <w:r>
        <w:rPr>
          <w:b/>
          <w:sz w:val="24"/>
          <w:szCs w:val="24"/>
        </w:rPr>
        <w:t>fabricant</w:t>
      </w:r>
      <w:r>
        <w:rPr>
          <w:b/>
          <w:color w:val="000000"/>
          <w:sz w:val="24"/>
          <w:szCs w:val="24"/>
        </w:rPr>
        <w:t>(s) concernés par les projets qu’il réalise. Il a donc la compétence sur la majorité des matériels qu’il installe ou qu’il fait installer</w:t>
      </w:r>
    </w:p>
    <w:p w14:paraId="0000000D" w14:textId="77777777" w:rsidR="0005315E" w:rsidRDefault="00000000">
      <w:pPr>
        <w:numPr>
          <w:ilvl w:val="2"/>
          <w:numId w:val="1"/>
        </w:numPr>
        <w:pBdr>
          <w:top w:val="nil"/>
          <w:left w:val="nil"/>
          <w:bottom w:val="nil"/>
          <w:right w:val="nil"/>
          <w:between w:val="nil"/>
        </w:pBdr>
        <w:spacing w:after="0"/>
        <w:jc w:val="both"/>
        <w:rPr>
          <w:b/>
          <w:color w:val="000000"/>
          <w:sz w:val="24"/>
          <w:szCs w:val="24"/>
        </w:rPr>
      </w:pPr>
      <w:r>
        <w:rPr>
          <w:b/>
          <w:color w:val="000000"/>
          <w:sz w:val="24"/>
          <w:szCs w:val="24"/>
        </w:rPr>
        <w:t xml:space="preserve">Il n’a aucune dépendance capitalistique vis-à-vis d’un </w:t>
      </w:r>
      <w:r>
        <w:rPr>
          <w:b/>
          <w:sz w:val="24"/>
          <w:szCs w:val="24"/>
        </w:rPr>
        <w:t>fabricant</w:t>
      </w:r>
      <w:r>
        <w:rPr>
          <w:b/>
          <w:color w:val="000000"/>
          <w:sz w:val="24"/>
          <w:szCs w:val="24"/>
        </w:rPr>
        <w:t xml:space="preserve"> de matériels ou d’un revendeur de matériels de régulation et d’automatismes ou d’un installateur (CFO/CFA/CVC/PB)</w:t>
      </w:r>
    </w:p>
    <w:p w14:paraId="0000000E" w14:textId="77777777" w:rsidR="0005315E" w:rsidRDefault="00000000">
      <w:pPr>
        <w:numPr>
          <w:ilvl w:val="1"/>
          <w:numId w:val="1"/>
        </w:numPr>
        <w:pBdr>
          <w:top w:val="nil"/>
          <w:left w:val="nil"/>
          <w:bottom w:val="nil"/>
          <w:right w:val="nil"/>
          <w:between w:val="nil"/>
        </w:pBdr>
        <w:spacing w:after="0"/>
        <w:jc w:val="both"/>
        <w:rPr>
          <w:b/>
          <w:color w:val="000000"/>
          <w:sz w:val="24"/>
          <w:szCs w:val="24"/>
        </w:rPr>
      </w:pPr>
      <w:r>
        <w:rPr>
          <w:b/>
          <w:color w:val="000000"/>
          <w:sz w:val="24"/>
          <w:szCs w:val="24"/>
        </w:rPr>
        <w:t>Ne pas être mono produit</w:t>
      </w:r>
    </w:p>
    <w:p w14:paraId="0000000F" w14:textId="77777777" w:rsidR="0005315E" w:rsidRDefault="00000000">
      <w:pPr>
        <w:numPr>
          <w:ilvl w:val="1"/>
          <w:numId w:val="1"/>
        </w:numPr>
        <w:pBdr>
          <w:top w:val="nil"/>
          <w:left w:val="nil"/>
          <w:bottom w:val="nil"/>
          <w:right w:val="nil"/>
          <w:between w:val="nil"/>
        </w:pBdr>
        <w:jc w:val="both"/>
        <w:rPr>
          <w:b/>
          <w:color w:val="000000"/>
          <w:sz w:val="24"/>
          <w:szCs w:val="24"/>
        </w:rPr>
      </w:pPr>
      <w:r>
        <w:rPr>
          <w:b/>
          <w:color w:val="000000"/>
          <w:sz w:val="24"/>
          <w:szCs w:val="24"/>
        </w:rPr>
        <w:t>Présenter au moins 2 réalisations avec 2 produits différents.</w:t>
      </w:r>
    </w:p>
    <w:p w14:paraId="6F0D1428" w14:textId="77777777" w:rsidR="005A49C2" w:rsidRPr="005A49C2" w:rsidRDefault="005A49C2" w:rsidP="005A49C2">
      <w:pPr>
        <w:rPr>
          <w:sz w:val="24"/>
          <w:szCs w:val="24"/>
        </w:rPr>
      </w:pPr>
    </w:p>
    <w:sectPr w:rsidR="005A49C2" w:rsidRPr="005A49C2">
      <w:headerReference w:type="default" r:id="rId8"/>
      <w:footerReference w:type="default" r:id="rId9"/>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82B982" w14:textId="77777777" w:rsidR="00A32E51" w:rsidRDefault="00A32E51" w:rsidP="005A49C2">
      <w:pPr>
        <w:spacing w:after="0" w:line="240" w:lineRule="auto"/>
      </w:pPr>
      <w:r>
        <w:separator/>
      </w:r>
    </w:p>
  </w:endnote>
  <w:endnote w:type="continuationSeparator" w:id="0">
    <w:p w14:paraId="74118F6C" w14:textId="77777777" w:rsidR="00A32E51" w:rsidRDefault="00A32E51" w:rsidP="005A49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0F9A4DD7-241C-4A0E-BE64-7A91BB52B31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4A9B5DA-DBDB-41EE-A52E-929DB88949E6}"/>
    <w:embedBold r:id="rId3" w:fontKey="{0446317D-51AD-4A75-91D9-A56BD3AD3DC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D871B256-7B64-4C4A-AAA3-D13949FE9562}"/>
    <w:embedItalic r:id="rId5" w:fontKey="{071F0A46-F91B-4446-91D1-C2CFEE3C794E}"/>
  </w:font>
  <w:font w:name="Arial">
    <w:panose1 w:val="020B0604020202020204"/>
    <w:charset w:val="00"/>
    <w:family w:val="swiss"/>
    <w:pitch w:val="variable"/>
    <w:sig w:usb0="E0002EFF" w:usb1="C000785B" w:usb2="00000009" w:usb3="00000000" w:csb0="000001FF" w:csb1="00000000"/>
  </w:font>
  <w:font w:name="Times New Roman (Corps CS)">
    <w:charset w:val="00"/>
    <w:family w:val="roman"/>
    <w:pitch w:val="default"/>
  </w:font>
  <w:font w:name="Calibri Light">
    <w:panose1 w:val="020F0302020204030204"/>
    <w:charset w:val="00"/>
    <w:family w:val="swiss"/>
    <w:pitch w:val="variable"/>
    <w:sig w:usb0="E4002EFF" w:usb1="C000247B" w:usb2="00000009" w:usb3="00000000" w:csb0="000001FF" w:csb1="00000000"/>
    <w:embedRegular r:id="rId6" w:fontKey="{5E647BF6-25D2-426B-ABC7-0668CD1F45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7A7502" w14:textId="77777777" w:rsidR="005A49C2" w:rsidRPr="005A49C2" w:rsidRDefault="005A49C2" w:rsidP="005A49C2">
    <w:pPr>
      <w:adjustRightInd w:val="0"/>
      <w:snapToGrid w:val="0"/>
      <w:spacing w:after="0" w:line="240" w:lineRule="auto"/>
      <w:jc w:val="center"/>
      <w:rPr>
        <w:rFonts w:ascii="Arial" w:hAnsi="Arial" w:cs="Times New Roman"/>
        <w:b/>
        <w:bCs/>
        <w:sz w:val="20"/>
        <w:szCs w:val="20"/>
        <w:lang w:eastAsia="en-US"/>
      </w:rPr>
    </w:pPr>
    <w:r w:rsidRPr="005A49C2">
      <w:rPr>
        <w:rFonts w:ascii="Arial" w:hAnsi="Arial" w:cs="Times New Roman"/>
        <w:b/>
        <w:bCs/>
        <w:sz w:val="20"/>
        <w:szCs w:val="20"/>
        <w:lang w:eastAsia="en-US"/>
      </w:rPr>
      <w:t>SIGTB</w:t>
    </w:r>
  </w:p>
  <w:p w14:paraId="01E7BDD3" w14:textId="77777777" w:rsidR="005A49C2" w:rsidRPr="005A49C2" w:rsidRDefault="005A49C2" w:rsidP="005A49C2">
    <w:pPr>
      <w:adjustRightInd w:val="0"/>
      <w:snapToGrid w:val="0"/>
      <w:spacing w:after="0" w:line="240" w:lineRule="auto"/>
      <w:jc w:val="center"/>
      <w:rPr>
        <w:rFonts w:ascii="Arial" w:hAnsi="Arial" w:cs="Times New Roman"/>
        <w:b/>
        <w:bCs/>
        <w:sz w:val="20"/>
        <w:szCs w:val="20"/>
        <w:lang w:eastAsia="en-US"/>
      </w:rPr>
    </w:pPr>
    <w:r w:rsidRPr="005A49C2">
      <w:rPr>
        <w:rFonts w:ascii="Arial" w:hAnsi="Arial" w:cs="Times New Roman"/>
        <w:b/>
        <w:bCs/>
        <w:sz w:val="20"/>
        <w:szCs w:val="20"/>
        <w:lang w:eastAsia="en-US"/>
      </w:rPr>
      <w:t>Syndicat des Intégrateurs de GTB</w:t>
    </w:r>
  </w:p>
  <w:p w14:paraId="3269F0F0" w14:textId="77777777" w:rsidR="005A49C2" w:rsidRPr="005A49C2" w:rsidRDefault="005A49C2" w:rsidP="005A49C2">
    <w:pPr>
      <w:adjustRightInd w:val="0"/>
      <w:snapToGrid w:val="0"/>
      <w:spacing w:after="0" w:line="240" w:lineRule="auto"/>
      <w:jc w:val="center"/>
      <w:rPr>
        <w:rFonts w:ascii="Arial" w:hAnsi="Arial" w:cs="Times New Roman"/>
        <w:sz w:val="16"/>
        <w:szCs w:val="16"/>
        <w:lang w:eastAsia="en-US"/>
      </w:rPr>
    </w:pPr>
    <w:r w:rsidRPr="005A49C2">
      <w:rPr>
        <w:rFonts w:ascii="Arial" w:hAnsi="Arial" w:cs="Times New Roman"/>
        <w:sz w:val="16"/>
        <w:szCs w:val="16"/>
        <w:lang w:eastAsia="en-US"/>
      </w:rPr>
      <w:t xml:space="preserve">231 rue Saint Honoré – </w:t>
    </w:r>
    <w:proofErr w:type="spellStart"/>
    <w:r w:rsidRPr="005A49C2">
      <w:rPr>
        <w:rFonts w:ascii="Arial" w:hAnsi="Arial" w:cs="Times New Roman"/>
        <w:sz w:val="16"/>
        <w:szCs w:val="16"/>
        <w:lang w:eastAsia="en-US"/>
      </w:rPr>
      <w:t>Kandbaz</w:t>
    </w:r>
    <w:proofErr w:type="spellEnd"/>
    <w:r w:rsidRPr="005A49C2">
      <w:rPr>
        <w:rFonts w:ascii="Arial" w:hAnsi="Arial" w:cs="Times New Roman"/>
        <w:sz w:val="16"/>
        <w:szCs w:val="16"/>
        <w:lang w:eastAsia="en-US"/>
      </w:rPr>
      <w:t xml:space="preserve"> Saint-Honoré </w:t>
    </w:r>
    <w:proofErr w:type="spellStart"/>
    <w:r w:rsidRPr="005A49C2">
      <w:rPr>
        <w:rFonts w:ascii="Arial" w:hAnsi="Arial" w:cs="Times New Roman"/>
        <w:sz w:val="16"/>
        <w:szCs w:val="16"/>
        <w:lang w:eastAsia="en-US"/>
      </w:rPr>
      <w:t>Vendome</w:t>
    </w:r>
    <w:proofErr w:type="spellEnd"/>
    <w:r w:rsidRPr="005A49C2">
      <w:rPr>
        <w:rFonts w:ascii="Arial" w:hAnsi="Arial" w:cs="Times New Roman"/>
        <w:sz w:val="16"/>
        <w:szCs w:val="16"/>
        <w:lang w:eastAsia="en-US"/>
      </w:rPr>
      <w:t xml:space="preserve"> – 75001 PARIS</w:t>
    </w:r>
  </w:p>
  <w:p w14:paraId="254D0441" w14:textId="77777777" w:rsidR="005A49C2" w:rsidRPr="005A49C2" w:rsidRDefault="005A49C2" w:rsidP="005A49C2">
    <w:pPr>
      <w:adjustRightInd w:val="0"/>
      <w:snapToGrid w:val="0"/>
      <w:spacing w:after="0" w:line="240" w:lineRule="auto"/>
      <w:jc w:val="center"/>
      <w:rPr>
        <w:rFonts w:ascii="Arial" w:hAnsi="Arial" w:cs="Times New Roman"/>
        <w:sz w:val="12"/>
        <w:szCs w:val="12"/>
        <w:lang w:eastAsia="en-US"/>
      </w:rPr>
    </w:pPr>
  </w:p>
  <w:p w14:paraId="16A8ECA9" w14:textId="4D82A360" w:rsidR="005A49C2" w:rsidRPr="005A49C2" w:rsidRDefault="005A49C2" w:rsidP="005A49C2">
    <w:pPr>
      <w:adjustRightInd w:val="0"/>
      <w:snapToGrid w:val="0"/>
      <w:spacing w:after="0" w:line="240" w:lineRule="auto"/>
      <w:jc w:val="center"/>
      <w:rPr>
        <w:rFonts w:ascii="Arial" w:hAnsi="Arial" w:cs="Arial"/>
        <w:spacing w:val="-16"/>
        <w:sz w:val="18"/>
        <w:szCs w:val="18"/>
        <w:lang w:eastAsia="en-US"/>
      </w:rPr>
    </w:pPr>
    <w:r w:rsidRPr="005A49C2">
      <w:rPr>
        <w:rFonts w:ascii="Arial" w:hAnsi="Arial" w:cs="Arial"/>
        <w:sz w:val="18"/>
        <w:szCs w:val="18"/>
        <w:lang w:eastAsia="en-US"/>
      </w:rPr>
      <w:t xml:space="preserve">Tél. : 06 08 64 53 27 – </w:t>
    </w:r>
    <w:r>
      <w:rPr>
        <w:rFonts w:ascii="Arial" w:hAnsi="Arial" w:cs="Arial"/>
        <w:sz w:val="18"/>
        <w:szCs w:val="18"/>
        <w:lang w:eastAsia="en-US"/>
      </w:rPr>
      <w:t>contactàsigtb.fr</w:t>
    </w:r>
  </w:p>
  <w:p w14:paraId="698BC7F7" w14:textId="77777777" w:rsidR="005A49C2" w:rsidRPr="005A49C2" w:rsidRDefault="005A49C2" w:rsidP="005A49C2">
    <w:pPr>
      <w:adjustRightInd w:val="0"/>
      <w:snapToGrid w:val="0"/>
      <w:spacing w:after="0" w:line="240" w:lineRule="auto"/>
      <w:jc w:val="center"/>
      <w:rPr>
        <w:rFonts w:ascii="Arial" w:hAnsi="Arial" w:cs="Times New Roman (Corps CS)"/>
        <w:spacing w:val="-16"/>
        <w:sz w:val="12"/>
        <w:szCs w:val="12"/>
        <w:lang w:eastAsia="en-US"/>
      </w:rPr>
    </w:pPr>
  </w:p>
  <w:p w14:paraId="32832DE4" w14:textId="77777777" w:rsidR="005A49C2" w:rsidRPr="005A49C2" w:rsidRDefault="005A49C2" w:rsidP="005A49C2">
    <w:pPr>
      <w:adjustRightInd w:val="0"/>
      <w:snapToGrid w:val="0"/>
      <w:spacing w:after="0" w:line="240" w:lineRule="auto"/>
      <w:jc w:val="center"/>
      <w:rPr>
        <w:rFonts w:ascii="Arial" w:hAnsi="Arial" w:cs="Times New Roman"/>
        <w:sz w:val="16"/>
        <w:szCs w:val="16"/>
        <w:lang w:eastAsia="en-US"/>
      </w:rPr>
    </w:pPr>
    <w:r w:rsidRPr="005A49C2">
      <w:rPr>
        <w:rFonts w:ascii="Arial" w:hAnsi="Arial" w:cs="Times New Roman (Corps CS)"/>
        <w:spacing w:val="-10"/>
        <w:sz w:val="16"/>
        <w:szCs w:val="16"/>
        <w:lang w:eastAsia="en-US"/>
      </w:rPr>
      <w:t xml:space="preserve">Association Loi de 1901 – RNA W751274425 – </w:t>
    </w:r>
    <w:r w:rsidRPr="005A49C2">
      <w:rPr>
        <w:rFonts w:ascii="Arial" w:hAnsi="Arial" w:cs="Times New Roman (Corps CS)"/>
        <w:spacing w:val="-4"/>
        <w:sz w:val="16"/>
        <w:szCs w:val="16"/>
        <w:lang w:eastAsia="en-US"/>
      </w:rPr>
      <w:t xml:space="preserve">Siret 930 588 900 00017 - </w:t>
    </w:r>
    <w:r w:rsidRPr="005A49C2">
      <w:rPr>
        <w:rFonts w:ascii="Arial" w:hAnsi="Arial" w:cs="Times New Roman"/>
        <w:sz w:val="16"/>
        <w:szCs w:val="16"/>
        <w:lang w:eastAsia="en-US"/>
      </w:rPr>
      <w:t>APE/NACE 94.11Z</w:t>
    </w:r>
  </w:p>
  <w:p w14:paraId="6D845187" w14:textId="77777777" w:rsidR="005A49C2" w:rsidRPr="005A49C2" w:rsidRDefault="005A49C2" w:rsidP="005A49C2">
    <w:pPr>
      <w:adjustRightInd w:val="0"/>
      <w:snapToGrid w:val="0"/>
      <w:spacing w:after="0" w:line="240" w:lineRule="auto"/>
      <w:jc w:val="center"/>
      <w:rPr>
        <w:rFonts w:ascii="Arial" w:hAnsi="Arial" w:cs="Times New Roman"/>
        <w:sz w:val="16"/>
        <w:szCs w:val="16"/>
        <w:lang w:eastAsia="en-US"/>
      </w:rPr>
    </w:pPr>
    <w:r w:rsidRPr="005A49C2">
      <w:rPr>
        <w:rFonts w:ascii="Arial" w:hAnsi="Arial" w:cs="Times New Roman (Corps CS)"/>
        <w:spacing w:val="-6"/>
        <w:sz w:val="16"/>
        <w:szCs w:val="16"/>
        <w:lang w:eastAsia="en-US"/>
      </w:rPr>
      <w:t xml:space="preserve">TVA Intracommunautaire </w:t>
    </w:r>
  </w:p>
  <w:p w14:paraId="7C2C3E1E" w14:textId="77777777" w:rsidR="005A49C2" w:rsidRDefault="005A49C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B8F619" w14:textId="77777777" w:rsidR="00A32E51" w:rsidRDefault="00A32E51" w:rsidP="005A49C2">
      <w:pPr>
        <w:spacing w:after="0" w:line="240" w:lineRule="auto"/>
      </w:pPr>
      <w:r>
        <w:separator/>
      </w:r>
    </w:p>
  </w:footnote>
  <w:footnote w:type="continuationSeparator" w:id="0">
    <w:p w14:paraId="519644D0" w14:textId="77777777" w:rsidR="00A32E51" w:rsidRDefault="00A32E51" w:rsidP="005A49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025AA8" w14:textId="6CEE85AC" w:rsidR="005A49C2" w:rsidRDefault="005A49C2">
    <w:pPr>
      <w:pStyle w:val="En-tte"/>
    </w:pPr>
    <w:r>
      <w:rPr>
        <w:b/>
        <w:noProof/>
        <w:sz w:val="44"/>
        <w:szCs w:val="44"/>
      </w:rPr>
      <w:drawing>
        <wp:anchor distT="0" distB="0" distL="114300" distR="114300" simplePos="0" relativeHeight="251659264" behindDoc="0" locked="0" layoutInCell="1" allowOverlap="1" wp14:anchorId="158B0B8D" wp14:editId="44172E6F">
          <wp:simplePos x="0" y="0"/>
          <wp:positionH relativeFrom="margin">
            <wp:align>left</wp:align>
          </wp:positionH>
          <wp:positionV relativeFrom="paragraph">
            <wp:posOffset>-40005</wp:posOffset>
          </wp:positionV>
          <wp:extent cx="1028700" cy="1028700"/>
          <wp:effectExtent l="0" t="0" r="0" b="0"/>
          <wp:wrapSquare wrapText="bothSides"/>
          <wp:docPr id="3625563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556329" name="Image 362556329"/>
                  <pic:cNvPicPr/>
                </pic:nvPicPr>
                <pic:blipFill>
                  <a:blip r:embed="rId1">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DB4817"/>
    <w:multiLevelType w:val="multilevel"/>
    <w:tmpl w:val="D1564B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842888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15E"/>
    <w:rsid w:val="0005315E"/>
    <w:rsid w:val="005A49C2"/>
    <w:rsid w:val="00A32E51"/>
    <w:rsid w:val="00F216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E9DC7"/>
  <w15:docId w15:val="{A9F4332D-DBB5-4C3A-AD70-04A92AE14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Paragraphedeliste">
    <w:name w:val="List Paragraph"/>
    <w:basedOn w:val="Normal"/>
    <w:uiPriority w:val="34"/>
    <w:qFormat/>
    <w:rsid w:val="00DE662B"/>
    <w:pPr>
      <w:ind w:left="720"/>
      <w:contextualSpacing/>
    </w:p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tte">
    <w:name w:val="header"/>
    <w:basedOn w:val="Normal"/>
    <w:link w:val="En-tteCar"/>
    <w:uiPriority w:val="99"/>
    <w:unhideWhenUsed/>
    <w:rsid w:val="005A49C2"/>
    <w:pPr>
      <w:tabs>
        <w:tab w:val="center" w:pos="4536"/>
        <w:tab w:val="right" w:pos="9072"/>
      </w:tabs>
      <w:spacing w:after="0" w:line="240" w:lineRule="auto"/>
    </w:pPr>
  </w:style>
  <w:style w:type="character" w:customStyle="1" w:styleId="En-tteCar">
    <w:name w:val="En-tête Car"/>
    <w:basedOn w:val="Policepardfaut"/>
    <w:link w:val="En-tte"/>
    <w:uiPriority w:val="99"/>
    <w:rsid w:val="005A49C2"/>
  </w:style>
  <w:style w:type="paragraph" w:styleId="Pieddepage">
    <w:name w:val="footer"/>
    <w:basedOn w:val="Normal"/>
    <w:link w:val="PieddepageCar"/>
    <w:uiPriority w:val="99"/>
    <w:unhideWhenUsed/>
    <w:rsid w:val="005A49C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A49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F8xx5SKvWyqManUCKEf143J82A==">CgMxLjAyCGguZ2pkZ3hzOAByITFnLURrcHRmWHp3SXNra1M5NHBwRkdRTFhMSEVXSF8yMg==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222</Words>
  <Characters>1225</Characters>
  <Application>Microsoft Office Word</Application>
  <DocSecurity>0</DocSecurity>
  <Lines>10</Lines>
  <Paragraphs>2</Paragraphs>
  <ScaleCrop>false</ScaleCrop>
  <Company>HP Inc.</Company>
  <LinksUpToDate>false</LinksUpToDate>
  <CharactersWithSpaces>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PONT Fabien</dc:creator>
  <cp:lastModifiedBy>Gérard Badard</cp:lastModifiedBy>
  <cp:revision>2</cp:revision>
  <dcterms:created xsi:type="dcterms:W3CDTF">2023-02-01T10:18:00Z</dcterms:created>
  <dcterms:modified xsi:type="dcterms:W3CDTF">2024-10-03T14:01:00Z</dcterms:modified>
</cp:coreProperties>
</file>